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511" w:rsidRPr="00446511" w:rsidRDefault="00446511" w:rsidP="00446511">
      <w:pPr>
        <w:widowControl/>
        <w:spacing w:line="300" w:lineRule="atLeast"/>
        <w:jc w:val="center"/>
        <w:outlineLvl w:val="0"/>
        <w:rPr>
          <w:rFonts w:ascii="微软雅黑" w:eastAsia="微软雅黑" w:hAnsi="微软雅黑" w:cs="宋体"/>
          <w:b/>
          <w:bCs/>
          <w:color w:val="0068A3"/>
          <w:kern w:val="36"/>
          <w:sz w:val="27"/>
          <w:szCs w:val="27"/>
        </w:rPr>
      </w:pPr>
      <w:r w:rsidRPr="00446511">
        <w:rPr>
          <w:rFonts w:ascii="微软雅黑" w:eastAsia="微软雅黑" w:hAnsi="微软雅黑" w:cs="宋体" w:hint="eastAsia"/>
          <w:b/>
          <w:bCs/>
          <w:color w:val="0068A3"/>
          <w:kern w:val="36"/>
          <w:sz w:val="27"/>
          <w:szCs w:val="27"/>
        </w:rPr>
        <w:t>关于发布2017年市科技计划项目指南的通知</w:t>
      </w:r>
    </w:p>
    <w:p w:rsidR="00446511" w:rsidRPr="00446511" w:rsidRDefault="00446511" w:rsidP="00446511">
      <w:pPr>
        <w:widowControl/>
        <w:shd w:val="clear" w:color="auto" w:fill="FFFFFF"/>
        <w:spacing w:line="54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lang w:eastAsia="zh-TW"/>
        </w:rPr>
        <w:t>各有关单位：</w:t>
      </w:r>
    </w:p>
    <w:p w:rsidR="00446511" w:rsidRPr="00446511" w:rsidRDefault="00446511" w:rsidP="00446511">
      <w:pPr>
        <w:widowControl/>
        <w:shd w:val="clear" w:color="auto" w:fill="FFFFFF"/>
        <w:spacing w:line="54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为全面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lang w:eastAsia="zh-TW"/>
        </w:rPr>
        <w:t>贯彻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落实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lang w:eastAsia="zh-TW"/>
        </w:rPr>
        <w:t>全国、自治区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及我市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lang w:eastAsia="zh-TW"/>
        </w:rPr>
        <w:t>科技创新大会精神，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根据自治区党委九届二次全体（扩大）会议、市委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lang w:eastAsia="zh-TW"/>
        </w:rPr>
        <w:t>十一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届三次全体（扩大）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lang w:eastAsia="zh-TW"/>
        </w:rPr>
        <w:t>会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议工作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lang w:eastAsia="zh-TW"/>
        </w:rPr>
        <w:t>部署，围绕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维护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lang w:eastAsia="zh-TW"/>
        </w:rPr>
        <w:t>社会稳定和长治久安总目标，深入实施创新驱动发展战略，集成科技资源，聚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焦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lang w:eastAsia="zh-TW"/>
        </w:rPr>
        <w:t>关键技术，优化产业结构，为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建设“六个首府</w:t>
      </w:r>
      <w:r w:rsidRPr="00446511">
        <w:rPr>
          <w:rFonts w:ascii="宋体" w:eastAsia="宋体" w:hAnsi="宋体" w:cs="宋体" w:hint="eastAsia"/>
          <w:color w:val="000000"/>
          <w:kern w:val="0"/>
          <w:sz w:val="32"/>
          <w:szCs w:val="32"/>
          <w:lang w:eastAsia="zh-TW"/>
        </w:rPr>
        <w:t>”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、打</w:t>
      </w:r>
      <w:r w:rsidRPr="00446511">
        <w:rPr>
          <w:rFonts w:ascii="PMingLiU" w:eastAsia="PMingLiU" w:hAnsi="PMingLiU" w:cs="宋体" w:hint="eastAsia"/>
          <w:color w:val="000000"/>
          <w:kern w:val="0"/>
          <w:sz w:val="32"/>
          <w:szCs w:val="32"/>
          <w:lang w:eastAsia="zh-TW"/>
        </w:rPr>
        <w:t>造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现代化国际城市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lang w:eastAsia="zh-TW"/>
        </w:rPr>
        <w:t>提供科技支撑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，结合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lang w:eastAsia="zh-TW"/>
        </w:rPr>
        <w:t>2017年市委、市政府重点任务，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我局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lang w:eastAsia="zh-TW"/>
        </w:rPr>
        <w:t>编制了《乌鲁木齐市2017年度科技计划项目指南》（以下简称“指南”），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予以发布，现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lang w:eastAsia="zh-TW"/>
        </w:rPr>
        <w:t>就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有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lang w:eastAsia="zh-TW"/>
        </w:rPr>
        <w:t>关事项通知如下：</w:t>
      </w:r>
    </w:p>
    <w:p w:rsidR="00446511" w:rsidRPr="00446511" w:rsidRDefault="00446511" w:rsidP="00446511">
      <w:pPr>
        <w:widowControl/>
        <w:spacing w:line="54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bookmarkStart w:id="0" w:name="_Toc486953226"/>
      <w:bookmarkStart w:id="1" w:name="_Toc477540551"/>
      <w:bookmarkStart w:id="2" w:name="_Toc477539718"/>
      <w:bookmarkStart w:id="3" w:name="_Toc477539499"/>
      <w:bookmarkStart w:id="4" w:name="_Toc477539165"/>
      <w:bookmarkStart w:id="5" w:name="_Toc476329218"/>
      <w:bookmarkStart w:id="6" w:name="_Toc476677234"/>
      <w:bookmarkStart w:id="7" w:name="_Toc476329480"/>
      <w:bookmarkStart w:id="8" w:name="_Toc476677021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44651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一、《指南》编制原则和方向</w:t>
      </w:r>
      <w:bookmarkEnd w:id="8"/>
    </w:p>
    <w:p w:rsidR="00446511" w:rsidRPr="00446511" w:rsidRDefault="00446511" w:rsidP="00446511">
      <w:pPr>
        <w:widowControl/>
        <w:spacing w:line="54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bookmarkStart w:id="9" w:name="_Toc486953227"/>
      <w:bookmarkStart w:id="10" w:name="_Toc477540552"/>
      <w:bookmarkStart w:id="11" w:name="_Toc477539719"/>
      <w:bookmarkStart w:id="12" w:name="_Toc477539500"/>
      <w:bookmarkStart w:id="13" w:name="_Toc477539166"/>
      <w:bookmarkStart w:id="14" w:name="_Toc476677235"/>
      <w:bookmarkStart w:id="15" w:name="_Toc476677022"/>
      <w:bookmarkStart w:id="16" w:name="_Toc476329481"/>
      <w:bookmarkStart w:id="17" w:name="_Toc476329219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446511">
        <w:rPr>
          <w:rFonts w:ascii="Calibri" w:eastAsia="方正楷体_GBK" w:hAnsi="Calibri" w:cs="宋体" w:hint="eastAsia"/>
          <w:color w:val="000000"/>
          <w:kern w:val="0"/>
          <w:sz w:val="32"/>
          <w:szCs w:val="32"/>
        </w:rPr>
        <w:t>（一）编制原则</w:t>
      </w:r>
      <w:bookmarkEnd w:id="17"/>
    </w:p>
    <w:p w:rsidR="00446511" w:rsidRPr="00446511" w:rsidRDefault="00446511" w:rsidP="00446511">
      <w:pPr>
        <w:widowControl/>
        <w:shd w:val="clear" w:color="auto" w:fill="FFFFFF"/>
        <w:spacing w:line="54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lang w:eastAsia="zh-TW"/>
        </w:rPr>
        <w:t>坚持优化布局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、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lang w:eastAsia="zh-TW"/>
        </w:rPr>
        <w:t>顶层设计、统筹兼顾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、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lang w:eastAsia="zh-TW"/>
        </w:rPr>
        <w:t>合理配置的原则。课题采取命题公示，以定向委托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、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lang w:eastAsia="zh-TW"/>
        </w:rPr>
        <w:t>竞争选拨或招标方式，择优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确定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lang w:eastAsia="zh-TW"/>
        </w:rPr>
        <w:t>。</w:t>
      </w:r>
    </w:p>
    <w:p w:rsidR="00446511" w:rsidRPr="00446511" w:rsidRDefault="00446511" w:rsidP="00446511">
      <w:pPr>
        <w:widowControl/>
        <w:spacing w:line="54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bookmarkStart w:id="18" w:name="_Toc486953228"/>
      <w:bookmarkStart w:id="19" w:name="_Toc477540553"/>
      <w:bookmarkStart w:id="20" w:name="_Toc477539720"/>
      <w:bookmarkStart w:id="21" w:name="_Toc477539501"/>
      <w:bookmarkStart w:id="22" w:name="_Toc477539167"/>
      <w:bookmarkStart w:id="23" w:name="_Toc476677023"/>
      <w:bookmarkStart w:id="24" w:name="_Toc476329220"/>
      <w:bookmarkStart w:id="25" w:name="_Toc476677236"/>
      <w:bookmarkStart w:id="26" w:name="_Toc476329482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Pr="00446511">
        <w:rPr>
          <w:rFonts w:ascii="Calibri" w:eastAsia="方正楷体_GBK" w:hAnsi="Calibri" w:cs="宋体" w:hint="eastAsia"/>
          <w:color w:val="000000"/>
          <w:kern w:val="0"/>
          <w:sz w:val="32"/>
          <w:szCs w:val="32"/>
        </w:rPr>
        <w:t>（二）支持方向</w:t>
      </w:r>
      <w:bookmarkEnd w:id="26"/>
    </w:p>
    <w:p w:rsidR="00446511" w:rsidRPr="00446511" w:rsidRDefault="00446511" w:rsidP="00446511">
      <w:pPr>
        <w:widowControl/>
        <w:shd w:val="clear" w:color="auto" w:fill="FFFFFF"/>
        <w:spacing w:line="54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lang w:eastAsia="zh-TW"/>
        </w:rPr>
        <w:t>围绕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反恐维稳、经济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lang w:eastAsia="zh-TW"/>
        </w:rPr>
        <w:t>发展及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城市建设三大工作格局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lang w:eastAsia="zh-TW"/>
        </w:rPr>
        <w:t>，支持以企业为主体，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产学研联合攻关，解决公共安全领域关键共性技术和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lang w:eastAsia="zh-TW"/>
        </w:rPr>
        <w:t>制约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我市产业发展核心攻关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lang w:eastAsia="zh-TW"/>
        </w:rPr>
        <w:t>技术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及城市建设中突出的重点问题、群众关注的热点难点问题，以及人才与基地建设和协同创新等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lang w:eastAsia="zh-TW"/>
        </w:rPr>
        <w:t>。</w:t>
      </w:r>
    </w:p>
    <w:p w:rsidR="00446511" w:rsidRPr="00446511" w:rsidRDefault="00446511" w:rsidP="00446511">
      <w:pPr>
        <w:widowControl/>
        <w:spacing w:line="54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bookmarkStart w:id="27" w:name="_Toc486953229"/>
      <w:r w:rsidRPr="00446511">
        <w:rPr>
          <w:rFonts w:ascii="Calibri" w:eastAsia="方正楷体_GBK" w:hAnsi="Calibri" w:cs="宋体" w:hint="eastAsia"/>
          <w:color w:val="000000"/>
          <w:kern w:val="0"/>
          <w:sz w:val="32"/>
          <w:szCs w:val="32"/>
        </w:rPr>
        <w:lastRenderedPageBreak/>
        <w:t>（三）支持方式</w:t>
      </w:r>
      <w:bookmarkEnd w:id="27"/>
    </w:p>
    <w:p w:rsidR="00446511" w:rsidRPr="00446511" w:rsidRDefault="00446511" w:rsidP="00446511">
      <w:pPr>
        <w:widowControl/>
        <w:shd w:val="clear" w:color="auto" w:fill="FFFFFF"/>
        <w:spacing w:line="54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贷款贴息、后补助、以奖代补。</w:t>
      </w:r>
    </w:p>
    <w:p w:rsidR="00446511" w:rsidRPr="00446511" w:rsidRDefault="00446511" w:rsidP="00446511">
      <w:pPr>
        <w:widowControl/>
        <w:spacing w:line="54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bookmarkStart w:id="28" w:name="_Toc486953230"/>
      <w:bookmarkStart w:id="29" w:name="_Toc477540554"/>
      <w:bookmarkStart w:id="30" w:name="_Toc477539721"/>
      <w:bookmarkStart w:id="31" w:name="_Toc477539502"/>
      <w:bookmarkStart w:id="32" w:name="_Toc477539168"/>
      <w:bookmarkStart w:id="33" w:name="_Toc476677237"/>
      <w:bookmarkStart w:id="34" w:name="_Toc476677024"/>
      <w:bookmarkStart w:id="35" w:name="_Toc476329483"/>
      <w:bookmarkStart w:id="36" w:name="_Toc476329221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44651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二、计划类别</w:t>
      </w:r>
      <w:bookmarkEnd w:id="36"/>
    </w:p>
    <w:p w:rsidR="00446511" w:rsidRPr="00446511" w:rsidRDefault="00446511" w:rsidP="00446511">
      <w:pPr>
        <w:widowControl/>
        <w:shd w:val="clear" w:color="auto" w:fill="FFFFFF"/>
        <w:spacing w:line="54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bookmarkStart w:id="37" w:name="_Toc477540555"/>
      <w:bookmarkStart w:id="38" w:name="_Toc477539722"/>
      <w:bookmarkStart w:id="39" w:name="_Toc477539503"/>
      <w:bookmarkStart w:id="40" w:name="_Toc477539169"/>
      <w:bookmarkStart w:id="41" w:name="_Toc476677238"/>
      <w:bookmarkStart w:id="42" w:name="_Toc476677025"/>
      <w:bookmarkStart w:id="43" w:name="_Toc476329484"/>
      <w:bookmarkStart w:id="44" w:name="_Toc476329222"/>
      <w:bookmarkEnd w:id="37"/>
      <w:bookmarkEnd w:id="38"/>
      <w:bookmarkEnd w:id="39"/>
      <w:bookmarkEnd w:id="40"/>
      <w:bookmarkEnd w:id="41"/>
      <w:bookmarkEnd w:id="42"/>
      <w:bookmarkEnd w:id="43"/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根据国家、自治区科技计划体制改革精神，结合我市实际，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  <w:lang w:eastAsia="zh-TW"/>
        </w:rPr>
        <w:t>2017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年乌鲁木齐市重点实施三大类科技计划。</w:t>
      </w:r>
      <w:bookmarkEnd w:id="44"/>
    </w:p>
    <w:p w:rsidR="00446511" w:rsidRPr="00446511" w:rsidRDefault="00446511" w:rsidP="00446511">
      <w:pPr>
        <w:widowControl/>
        <w:spacing w:line="54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bookmarkStart w:id="45" w:name="_Toc486953231"/>
      <w:r w:rsidRPr="00446511">
        <w:rPr>
          <w:rFonts w:ascii="Calibri" w:eastAsia="方正楷体_GBK" w:hAnsi="Calibri" w:cs="宋体" w:hint="eastAsia"/>
          <w:color w:val="000000"/>
          <w:kern w:val="0"/>
          <w:sz w:val="32"/>
          <w:szCs w:val="32"/>
        </w:rPr>
        <w:t>（一）科技重大专项</w:t>
      </w:r>
      <w:bookmarkEnd w:id="45"/>
    </w:p>
    <w:p w:rsidR="00446511" w:rsidRPr="00446511" w:rsidRDefault="00446511" w:rsidP="00446511">
      <w:pPr>
        <w:widowControl/>
        <w:spacing w:line="360" w:lineRule="atLeast"/>
        <w:ind w:left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bookmarkStart w:id="46" w:name="_Toc486953232"/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lang w:eastAsia="zh-TW"/>
        </w:rPr>
        <w:t>1</w:t>
      </w:r>
      <w:bookmarkEnd w:id="46"/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、科技维稳专项（单独发布）</w:t>
      </w:r>
    </w:p>
    <w:p w:rsidR="00446511" w:rsidRPr="00446511" w:rsidRDefault="00446511" w:rsidP="00446511">
      <w:pPr>
        <w:widowControl/>
        <w:spacing w:line="3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bookmarkStart w:id="47" w:name="_Toc486953233"/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lang w:eastAsia="zh-TW"/>
        </w:rPr>
        <w:t>2</w:t>
      </w:r>
      <w:bookmarkEnd w:id="47"/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、科技支撑经济发展专项</w:t>
      </w:r>
    </w:p>
    <w:p w:rsidR="00446511" w:rsidRPr="00446511" w:rsidRDefault="00446511" w:rsidP="00446511">
      <w:pPr>
        <w:widowControl/>
        <w:spacing w:line="3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bookmarkStart w:id="48" w:name="_Toc486953234"/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lang w:eastAsia="zh-TW"/>
        </w:rPr>
        <w:t>3</w:t>
      </w:r>
      <w:bookmarkEnd w:id="48"/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、科技提升城市建设专项</w:t>
      </w:r>
    </w:p>
    <w:p w:rsidR="00446511" w:rsidRPr="00446511" w:rsidRDefault="00446511" w:rsidP="00446511">
      <w:pPr>
        <w:widowControl/>
        <w:spacing w:line="3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bookmarkStart w:id="49" w:name="_Toc486953235"/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lang w:eastAsia="zh-TW"/>
        </w:rPr>
        <w:t>4</w:t>
      </w:r>
      <w:bookmarkEnd w:id="49"/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、丝绸之路经济带“科技中心”建设专项</w:t>
      </w:r>
    </w:p>
    <w:p w:rsidR="00446511" w:rsidRPr="00446511" w:rsidRDefault="00446511" w:rsidP="00446511">
      <w:pPr>
        <w:widowControl/>
        <w:spacing w:line="3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bookmarkStart w:id="50" w:name="_Toc486953236"/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lang w:eastAsia="zh-TW"/>
        </w:rPr>
        <w:t>5</w:t>
      </w:r>
      <w:bookmarkEnd w:id="50"/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、科技惠民专项</w:t>
      </w:r>
    </w:p>
    <w:p w:rsidR="00446511" w:rsidRPr="00446511" w:rsidRDefault="00446511" w:rsidP="00446511">
      <w:pPr>
        <w:widowControl/>
        <w:spacing w:line="3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bookmarkStart w:id="51" w:name="_Toc486953237"/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lang w:eastAsia="zh-TW"/>
        </w:rPr>
        <w:t>6</w:t>
      </w:r>
      <w:bookmarkEnd w:id="51"/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、生态环境整治与污染治理专项</w:t>
      </w:r>
    </w:p>
    <w:p w:rsidR="00446511" w:rsidRPr="00446511" w:rsidRDefault="00446511" w:rsidP="00446511">
      <w:pPr>
        <w:widowControl/>
        <w:spacing w:line="54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bookmarkStart w:id="52" w:name="_Toc486953238"/>
      <w:r w:rsidRPr="00446511">
        <w:rPr>
          <w:rFonts w:ascii="Calibri" w:eastAsia="方正楷体_GBK" w:hAnsi="Calibri" w:cs="宋体" w:hint="eastAsia"/>
          <w:color w:val="000000"/>
          <w:kern w:val="0"/>
          <w:sz w:val="32"/>
          <w:szCs w:val="32"/>
        </w:rPr>
        <w:t>（二）创新环境（基地与人才）建设专项</w:t>
      </w:r>
      <w:bookmarkEnd w:id="52"/>
    </w:p>
    <w:p w:rsidR="00446511" w:rsidRPr="00446511" w:rsidRDefault="00446511" w:rsidP="00446511">
      <w:pPr>
        <w:widowControl/>
        <w:spacing w:line="3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bookmarkStart w:id="53" w:name="_Toc486953239"/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lang w:eastAsia="zh-TW"/>
        </w:rPr>
        <w:t>1</w:t>
      </w:r>
      <w:bookmarkEnd w:id="53"/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、创新平台建设</w:t>
      </w:r>
    </w:p>
    <w:p w:rsidR="00446511" w:rsidRPr="00446511" w:rsidRDefault="00446511" w:rsidP="00446511">
      <w:pPr>
        <w:widowControl/>
        <w:spacing w:line="3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bookmarkStart w:id="54" w:name="_Toc486953240"/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lang w:eastAsia="zh-TW"/>
        </w:rPr>
        <w:t>2</w:t>
      </w:r>
      <w:bookmarkEnd w:id="54"/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、创新能力建设</w:t>
      </w:r>
    </w:p>
    <w:p w:rsidR="00446511" w:rsidRPr="00446511" w:rsidRDefault="00446511" w:rsidP="00446511">
      <w:pPr>
        <w:widowControl/>
        <w:spacing w:line="3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bookmarkStart w:id="55" w:name="_Toc486953241"/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lang w:eastAsia="zh-TW"/>
        </w:rPr>
        <w:t>3</w:t>
      </w:r>
      <w:bookmarkEnd w:id="55"/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、人才工程专项</w:t>
      </w:r>
    </w:p>
    <w:p w:rsidR="00446511" w:rsidRPr="00446511" w:rsidRDefault="00446511" w:rsidP="00446511">
      <w:pPr>
        <w:widowControl/>
        <w:spacing w:line="3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bookmarkStart w:id="56" w:name="_Toc486953242"/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（三）协同创新专项</w:t>
      </w:r>
      <w:bookmarkEnd w:id="56"/>
    </w:p>
    <w:p w:rsidR="00446511" w:rsidRPr="00446511" w:rsidRDefault="00446511" w:rsidP="00446511">
      <w:pPr>
        <w:widowControl/>
        <w:spacing w:line="54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bookmarkStart w:id="57" w:name="_Toc486953243"/>
      <w:bookmarkStart w:id="58" w:name="_Toc477540574"/>
      <w:bookmarkStart w:id="59" w:name="_Toc477539741"/>
      <w:bookmarkStart w:id="60" w:name="_Toc477539522"/>
      <w:bookmarkStart w:id="61" w:name="_Toc477539191"/>
      <w:bookmarkStart w:id="62" w:name="_Toc476329503"/>
      <w:bookmarkStart w:id="63" w:name="_Toc476677044"/>
      <w:bookmarkStart w:id="64" w:name="_Toc476677257"/>
      <w:bookmarkStart w:id="65" w:name="_Toc476329241"/>
      <w:bookmarkEnd w:id="57"/>
      <w:bookmarkEnd w:id="58"/>
      <w:bookmarkEnd w:id="59"/>
      <w:bookmarkEnd w:id="60"/>
      <w:bookmarkEnd w:id="61"/>
      <w:bookmarkEnd w:id="62"/>
      <w:bookmarkEnd w:id="63"/>
      <w:bookmarkEnd w:id="64"/>
      <w:r w:rsidRPr="0044651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三、实施主体</w:t>
      </w:r>
      <w:bookmarkEnd w:id="65"/>
    </w:p>
    <w:p w:rsidR="00446511" w:rsidRPr="00446511" w:rsidRDefault="00446511" w:rsidP="00446511">
      <w:pPr>
        <w:widowControl/>
        <w:shd w:val="clear" w:color="auto" w:fill="FFFFFF"/>
        <w:spacing w:line="54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lang w:eastAsia="zh-TW"/>
        </w:rPr>
        <w:t>在乌鲁木齐行政区域内注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册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  <w:lang w:eastAsia="zh-TW"/>
        </w:rPr>
        <w:t>1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年以上、具有独立法人资格的企事业单位、社会团体及其他组织。</w:t>
      </w:r>
    </w:p>
    <w:p w:rsidR="00446511" w:rsidRPr="00446511" w:rsidRDefault="00446511" w:rsidP="00446511">
      <w:pPr>
        <w:widowControl/>
        <w:spacing w:line="54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bookmarkStart w:id="66" w:name="_Toc486953244"/>
      <w:bookmarkStart w:id="67" w:name="_Toc477540575"/>
      <w:bookmarkStart w:id="68" w:name="_Toc477539742"/>
      <w:bookmarkStart w:id="69" w:name="_Toc477539523"/>
      <w:bookmarkStart w:id="70" w:name="_Toc477539192"/>
      <w:bookmarkStart w:id="71" w:name="_Toc476329242"/>
      <w:bookmarkStart w:id="72" w:name="_Toc476677258"/>
      <w:bookmarkStart w:id="73" w:name="_Toc476329504"/>
      <w:bookmarkStart w:id="74" w:name="_Toc476677045"/>
      <w:bookmarkEnd w:id="66"/>
      <w:bookmarkEnd w:id="67"/>
      <w:bookmarkEnd w:id="68"/>
      <w:bookmarkEnd w:id="69"/>
      <w:bookmarkEnd w:id="70"/>
      <w:bookmarkEnd w:id="71"/>
      <w:bookmarkEnd w:id="72"/>
      <w:bookmarkEnd w:id="73"/>
      <w:r w:rsidRPr="0044651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四、具备条件</w:t>
      </w:r>
      <w:bookmarkEnd w:id="74"/>
    </w:p>
    <w:p w:rsidR="00446511" w:rsidRPr="00446511" w:rsidRDefault="00446511" w:rsidP="00446511">
      <w:pPr>
        <w:widowControl/>
        <w:shd w:val="clear" w:color="auto" w:fill="FFFFFF"/>
        <w:spacing w:line="54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lang w:eastAsia="zh-TW"/>
        </w:rPr>
        <w:lastRenderedPageBreak/>
        <w:t>（一）必须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符合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lang w:eastAsia="zh-TW"/>
        </w:rPr>
        <w:t>《指南》确定的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支持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lang w:eastAsia="zh-TW"/>
        </w:rPr>
        <w:t>方向。</w:t>
      </w:r>
    </w:p>
    <w:p w:rsidR="00446511" w:rsidRPr="00446511" w:rsidRDefault="00446511" w:rsidP="00446511">
      <w:pPr>
        <w:widowControl/>
        <w:shd w:val="clear" w:color="auto" w:fill="FFFFFF"/>
        <w:spacing w:line="54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lang w:eastAsia="zh-TW"/>
        </w:rPr>
        <w:t>（二）具有较强的技术创新能力，具备完成项目所需的技术人才、技术条件、技术装备等基础条件设施；具有产业化能力和配套资金；掌握所申报竞标项目领域的国内外产业发展动态，并具备前期支持产业关键技术研究或产业化的工作基础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，申报单位需落实一定比列的配套资金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lang w:eastAsia="zh-TW"/>
        </w:rPr>
        <w:t>。</w:t>
      </w:r>
    </w:p>
    <w:p w:rsidR="00446511" w:rsidRPr="00446511" w:rsidRDefault="00446511" w:rsidP="00446511">
      <w:pPr>
        <w:widowControl/>
        <w:shd w:val="clear" w:color="auto" w:fill="FFFFFF"/>
        <w:spacing w:line="54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lang w:eastAsia="zh-TW"/>
        </w:rPr>
        <w:t>（三）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实施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lang w:eastAsia="zh-TW"/>
        </w:rPr>
        <w:t>项目主持人应具有较高的学术水平和职业道德，具有领导、组织、实施科研项目的能力。</w:t>
      </w:r>
    </w:p>
    <w:p w:rsidR="00446511" w:rsidRPr="00446511" w:rsidRDefault="00446511" w:rsidP="00446511">
      <w:pPr>
        <w:widowControl/>
        <w:shd w:val="clear" w:color="auto" w:fill="FFFFFF"/>
        <w:spacing w:line="54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lang w:eastAsia="zh-TW"/>
        </w:rPr>
        <w:t>（四）编制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《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lang w:eastAsia="zh-TW"/>
        </w:rPr>
        <w:t>申请书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》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lang w:eastAsia="zh-TW"/>
        </w:rPr>
        <w:t>要科学合理、目标明确，严格按照《指南》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确定的研究内容和考核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lang w:eastAsia="zh-TW"/>
        </w:rPr>
        <w:t>指标，制定最优技术路线、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研究方法、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lang w:eastAsia="zh-TW"/>
        </w:rPr>
        <w:t>促进产业发展措施、完整的经济技术指标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及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lang w:eastAsia="zh-TW"/>
        </w:rPr>
        <w:t>实施计划，合理的经费预算等。</w:t>
      </w:r>
    </w:p>
    <w:p w:rsidR="00446511" w:rsidRPr="00446511" w:rsidRDefault="00446511" w:rsidP="00446511">
      <w:pPr>
        <w:widowControl/>
        <w:spacing w:line="54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bookmarkStart w:id="75" w:name="_Toc486953245"/>
      <w:bookmarkStart w:id="76" w:name="_Toc477540576"/>
      <w:bookmarkStart w:id="77" w:name="_Toc477539743"/>
      <w:bookmarkStart w:id="78" w:name="_Toc477539524"/>
      <w:bookmarkStart w:id="79" w:name="_Toc477539193"/>
      <w:bookmarkStart w:id="80" w:name="_Toc476329505"/>
      <w:bookmarkStart w:id="81" w:name="_Toc476329243"/>
      <w:bookmarkStart w:id="82" w:name="_Toc476677259"/>
      <w:bookmarkStart w:id="83" w:name="_Toc476677046"/>
      <w:bookmarkEnd w:id="75"/>
      <w:bookmarkEnd w:id="76"/>
      <w:bookmarkEnd w:id="77"/>
      <w:bookmarkEnd w:id="78"/>
      <w:bookmarkEnd w:id="79"/>
      <w:bookmarkEnd w:id="80"/>
      <w:bookmarkEnd w:id="81"/>
      <w:bookmarkEnd w:id="82"/>
      <w:r w:rsidRPr="0044651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五、报送申报书时间及方式</w:t>
      </w:r>
      <w:bookmarkEnd w:id="83"/>
    </w:p>
    <w:p w:rsidR="00446511" w:rsidRPr="00446511" w:rsidRDefault="00446511" w:rsidP="00446511">
      <w:pPr>
        <w:widowControl/>
        <w:spacing w:line="54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bookmarkStart w:id="84" w:name="_Toc486953246"/>
      <w:bookmarkStart w:id="85" w:name="_Toc477540577"/>
      <w:bookmarkStart w:id="86" w:name="_Toc477539744"/>
      <w:bookmarkStart w:id="87" w:name="_Toc477539525"/>
      <w:bookmarkStart w:id="88" w:name="_Toc477539194"/>
      <w:bookmarkStart w:id="89" w:name="_Toc476677260"/>
      <w:bookmarkStart w:id="90" w:name="_Toc476329506"/>
      <w:bookmarkStart w:id="91" w:name="_Toc476329244"/>
      <w:bookmarkStart w:id="92" w:name="_Toc476677047"/>
      <w:bookmarkEnd w:id="84"/>
      <w:bookmarkEnd w:id="85"/>
      <w:bookmarkEnd w:id="86"/>
      <w:bookmarkEnd w:id="87"/>
      <w:bookmarkEnd w:id="88"/>
      <w:bookmarkEnd w:id="89"/>
      <w:bookmarkEnd w:id="90"/>
      <w:bookmarkEnd w:id="91"/>
      <w:r w:rsidRPr="00446511">
        <w:rPr>
          <w:rFonts w:ascii="Calibri" w:eastAsia="方正楷体_GBK" w:hAnsi="Calibri" w:cs="宋体" w:hint="eastAsia"/>
          <w:color w:val="000000"/>
          <w:kern w:val="0"/>
          <w:sz w:val="32"/>
          <w:szCs w:val="32"/>
        </w:rPr>
        <w:t>（一）报送时间</w:t>
      </w:r>
      <w:bookmarkEnd w:id="92"/>
    </w:p>
    <w:p w:rsidR="00446511" w:rsidRPr="00446511" w:rsidRDefault="00446511" w:rsidP="00446511">
      <w:pPr>
        <w:widowControl/>
        <w:shd w:val="clear" w:color="auto" w:fill="FFFFFF"/>
        <w:spacing w:line="54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lang w:eastAsia="zh-TW"/>
        </w:rPr>
        <w:t>自本通知发布之日起开始，至2017年7月31日结束，逾期不予受理，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网络申报平台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lang w:eastAsia="zh-TW"/>
        </w:rPr>
        <w:t>系统将自动关闭。</w:t>
      </w:r>
    </w:p>
    <w:p w:rsidR="00446511" w:rsidRPr="00446511" w:rsidRDefault="00446511" w:rsidP="00446511">
      <w:pPr>
        <w:widowControl/>
        <w:spacing w:line="54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bookmarkStart w:id="93" w:name="_Toc486953247"/>
      <w:bookmarkStart w:id="94" w:name="_Toc477540578"/>
      <w:bookmarkStart w:id="95" w:name="_Toc477539745"/>
      <w:bookmarkStart w:id="96" w:name="_Toc477539526"/>
      <w:bookmarkStart w:id="97" w:name="_Toc477539195"/>
      <w:bookmarkStart w:id="98" w:name="_Toc476677048"/>
      <w:bookmarkStart w:id="99" w:name="_Toc476329507"/>
      <w:bookmarkStart w:id="100" w:name="_Toc476329245"/>
      <w:bookmarkStart w:id="101" w:name="_Toc476677261"/>
      <w:bookmarkEnd w:id="93"/>
      <w:bookmarkEnd w:id="94"/>
      <w:bookmarkEnd w:id="95"/>
      <w:bookmarkEnd w:id="96"/>
      <w:bookmarkEnd w:id="97"/>
      <w:bookmarkEnd w:id="98"/>
      <w:bookmarkEnd w:id="99"/>
      <w:bookmarkEnd w:id="100"/>
      <w:r w:rsidRPr="00446511">
        <w:rPr>
          <w:rFonts w:ascii="Calibri" w:eastAsia="方正楷体_GBK" w:hAnsi="Calibri" w:cs="宋体" w:hint="eastAsia"/>
          <w:color w:val="000000"/>
          <w:kern w:val="0"/>
          <w:sz w:val="32"/>
          <w:szCs w:val="32"/>
        </w:rPr>
        <w:t>（二）报送方式</w:t>
      </w:r>
      <w:bookmarkEnd w:id="101"/>
    </w:p>
    <w:p w:rsidR="00446511" w:rsidRPr="00446511" w:rsidRDefault="00446511" w:rsidP="00446511">
      <w:pPr>
        <w:widowControl/>
        <w:shd w:val="clear" w:color="auto" w:fill="FFFFFF"/>
        <w:spacing w:line="54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lang w:eastAsia="zh-TW"/>
        </w:rPr>
        <w:t>1、各类项目均采取网络填报方式。填报用户需登录乌鲁木齐市科技局网站（</w:t>
      </w:r>
      <w:hyperlink r:id="rId6" w:history="1">
        <w:r w:rsidRPr="00446511">
          <w:rPr>
            <w:rFonts w:ascii="方正仿宋_GBK" w:eastAsia="方正仿宋_GBK" w:hAnsi="宋体" w:cs="宋体" w:hint="eastAsia"/>
            <w:color w:val="333333"/>
            <w:kern w:val="0"/>
            <w:sz w:val="32"/>
            <w:lang w:eastAsia="zh-TW"/>
          </w:rPr>
          <w:t>http://www.ustb.gov.cn</w:t>
        </w:r>
      </w:hyperlink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lang w:eastAsia="zh-TW"/>
        </w:rPr>
        <w:t>），在“乌鲁木齐市科技计划项目统一申报管理平台”进行注册备案并经确认后登陆系统。进入系统后，请认真阅读有关要求，填写项目书。待确定内容不再修改时，将相关附件一同提交上传到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lang w:eastAsia="zh-TW"/>
        </w:rPr>
        <w:lastRenderedPageBreak/>
        <w:t>系统。（填写的电子附件材料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必须齐全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lang w:eastAsia="zh-TW"/>
        </w:rPr>
        <w:t>，需在附件中填加与项目有关的佐证材料，如知识产权证书、信用评价等级证书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、配套资金承诺书等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lang w:eastAsia="zh-TW"/>
        </w:rPr>
        <w:t>，以图片、word形式均可）</w:t>
      </w:r>
    </w:p>
    <w:p w:rsidR="00446511" w:rsidRPr="00446511" w:rsidRDefault="00446511" w:rsidP="00446511">
      <w:pPr>
        <w:widowControl/>
        <w:shd w:val="clear" w:color="auto" w:fill="FFFFFF"/>
        <w:spacing w:line="54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lang w:eastAsia="zh-TW"/>
        </w:rPr>
        <w:t>2、项目实施年限一般为1-3年。</w:t>
      </w:r>
    </w:p>
    <w:p w:rsidR="00446511" w:rsidRPr="00446511" w:rsidRDefault="00446511" w:rsidP="00446511">
      <w:pPr>
        <w:widowControl/>
        <w:shd w:val="clear" w:color="auto" w:fill="FFFFFF"/>
        <w:spacing w:line="54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lang w:eastAsia="zh-TW"/>
        </w:rPr>
        <w:t>3</w:t>
      </w:r>
      <w:r w:rsidRPr="0044651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、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lang w:eastAsia="zh-TW"/>
        </w:rPr>
        <w:t>涉密项目须根据项目申报书格式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离线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lang w:eastAsia="zh-TW"/>
        </w:rPr>
        <w:t>填写，打印装订6份，报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送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lang w:eastAsia="zh-TW"/>
        </w:rPr>
        <w:t>市科技局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综合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lang w:eastAsia="zh-TW"/>
        </w:rPr>
        <w:t>计划处,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并在申报系统中简要填写内容提交。</w:t>
      </w:r>
    </w:p>
    <w:p w:rsidR="00446511" w:rsidRPr="00446511" w:rsidRDefault="00446511" w:rsidP="00446511">
      <w:pPr>
        <w:widowControl/>
        <w:shd w:val="clear" w:color="auto" w:fill="FFFFFF"/>
        <w:spacing w:line="540" w:lineRule="atLeast"/>
        <w:ind w:firstLine="57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lang w:eastAsia="zh-TW"/>
        </w:rPr>
        <w:t>附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件</w:t>
      </w: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lang w:eastAsia="zh-TW"/>
        </w:rPr>
        <w:t>：</w:t>
      </w:r>
      <w:hyperlink r:id="rId7" w:history="1">
        <w:r w:rsidRPr="00446511">
          <w:rPr>
            <w:rFonts w:ascii="方正仿宋_GBK" w:eastAsia="方正仿宋_GBK" w:hAnsi="宋体" w:cs="宋体" w:hint="eastAsia"/>
            <w:color w:val="333333"/>
            <w:kern w:val="0"/>
            <w:sz w:val="32"/>
            <w:lang w:eastAsia="zh-TW"/>
          </w:rPr>
          <w:t>2017年乌鲁木齐市科技计划项目指南.doc</w:t>
        </w:r>
      </w:hyperlink>
    </w:p>
    <w:p w:rsidR="00446511" w:rsidRPr="00446511" w:rsidRDefault="00446511" w:rsidP="00446511">
      <w:pPr>
        <w:widowControl/>
        <w:shd w:val="clear" w:color="auto" w:fill="FFFFFF"/>
        <w:spacing w:line="540" w:lineRule="atLeast"/>
        <w:ind w:firstLine="2170"/>
        <w:jc w:val="righ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lang w:eastAsia="zh-TW"/>
        </w:rPr>
        <w:t> </w:t>
      </w:r>
    </w:p>
    <w:p w:rsidR="00446511" w:rsidRPr="00446511" w:rsidRDefault="00446511" w:rsidP="00446511">
      <w:pPr>
        <w:widowControl/>
        <w:shd w:val="clear" w:color="auto" w:fill="FFFFFF"/>
        <w:spacing w:line="540" w:lineRule="atLeast"/>
        <w:ind w:firstLine="2170"/>
        <w:jc w:val="righ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lang w:eastAsia="zh-TW"/>
        </w:rPr>
        <w:t> </w:t>
      </w:r>
    </w:p>
    <w:p w:rsidR="00446511" w:rsidRPr="00446511" w:rsidRDefault="00446511" w:rsidP="00446511">
      <w:pPr>
        <w:widowControl/>
        <w:shd w:val="clear" w:color="auto" w:fill="FFFFFF"/>
        <w:spacing w:line="540" w:lineRule="atLeast"/>
        <w:ind w:firstLine="2170"/>
        <w:jc w:val="righ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lang w:eastAsia="zh-TW"/>
        </w:rPr>
        <w:t>乌鲁木齐市科学技术局</w:t>
      </w:r>
    </w:p>
    <w:p w:rsidR="00446511" w:rsidRPr="00446511" w:rsidRDefault="00446511" w:rsidP="00446511">
      <w:pPr>
        <w:widowControl/>
        <w:spacing w:line="540" w:lineRule="atLeast"/>
        <w:ind w:right="160"/>
        <w:jc w:val="righ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446511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  <w:lang w:eastAsia="zh-TW"/>
        </w:rPr>
        <w:t>2017年7月6日</w:t>
      </w:r>
    </w:p>
    <w:p w:rsidR="00F06FC7" w:rsidRPr="00446511" w:rsidRDefault="00F06FC7"/>
    <w:sectPr w:rsidR="00F06FC7" w:rsidRPr="00446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FC7" w:rsidRDefault="00F06FC7" w:rsidP="00446511">
      <w:r>
        <w:separator/>
      </w:r>
    </w:p>
  </w:endnote>
  <w:endnote w:type="continuationSeparator" w:id="1">
    <w:p w:rsidR="00F06FC7" w:rsidRDefault="00F06FC7" w:rsidP="00446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FC7" w:rsidRDefault="00F06FC7" w:rsidP="00446511">
      <w:r>
        <w:separator/>
      </w:r>
    </w:p>
  </w:footnote>
  <w:footnote w:type="continuationSeparator" w:id="1">
    <w:p w:rsidR="00F06FC7" w:rsidRDefault="00F06FC7" w:rsidP="004465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511"/>
    <w:rsid w:val="00446511"/>
    <w:rsid w:val="00F0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4651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65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65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65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651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46511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44651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65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5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53587">
          <w:marLeft w:val="0"/>
          <w:marRight w:val="0"/>
          <w:marTop w:val="150"/>
          <w:marBottom w:val="0"/>
          <w:divBdr>
            <w:top w:val="none" w:sz="0" w:space="1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54833">
              <w:marLeft w:val="0"/>
              <w:marRight w:val="0"/>
              <w:marTop w:val="150"/>
              <w:marBottom w:val="0"/>
              <w:divBdr>
                <w:top w:val="none" w:sz="0" w:space="6" w:color="auto"/>
                <w:left w:val="none" w:sz="0" w:space="6" w:color="auto"/>
                <w:bottom w:val="none" w:sz="0" w:space="6" w:color="auto"/>
                <w:right w:val="none" w:sz="0" w:space="6" w:color="auto"/>
              </w:divBdr>
            </w:div>
          </w:divsChild>
        </w:div>
        <w:div w:id="99499361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15" w:color="auto"/>
            <w:bottom w:val="none" w:sz="0" w:space="0" w:color="auto"/>
            <w:right w:val="none" w:sz="0" w:space="15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stb.gov.cn/UpLoadFolder/OtherFile/2017/07/2017%E5%B9%B4%E4%B9%8C%E9%B2%81%E6%9C%A8%E9%BD%90%E5%B8%82%E7%A7%91%E6%8A%80%E8%AE%A1%E5%88%92%E9%A1%B9%E7%9B%AE%E6%8C%87%E5%8D%97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stb.gov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249</Words>
  <Characters>1424</Characters>
  <Application>Microsoft Office Word</Application>
  <DocSecurity>0</DocSecurity>
  <Lines>11</Lines>
  <Paragraphs>3</Paragraphs>
  <ScaleCrop>false</ScaleCrop>
  <Company>china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孟军</dc:creator>
  <cp:keywords/>
  <dc:description/>
  <cp:lastModifiedBy>孟军</cp:lastModifiedBy>
  <cp:revision>2</cp:revision>
  <dcterms:created xsi:type="dcterms:W3CDTF">2017-07-11T14:39:00Z</dcterms:created>
  <dcterms:modified xsi:type="dcterms:W3CDTF">2017-07-11T14:39:00Z</dcterms:modified>
</cp:coreProperties>
</file>